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4875A">
      <w:pPr>
        <w:pStyle w:val="2"/>
        <w:ind w:left="0"/>
        <w:rPr>
          <w:rFonts w:ascii="Times New Roman"/>
          <w:sz w:val="20"/>
        </w:rPr>
      </w:pPr>
    </w:p>
    <w:p w14:paraId="63AEB5A7">
      <w:pPr>
        <w:pStyle w:val="2"/>
        <w:spacing w:before="11"/>
        <w:ind w:left="0"/>
        <w:rPr>
          <w:rFonts w:ascii="Times New Roman"/>
          <w:sz w:val="22"/>
        </w:rPr>
      </w:pPr>
    </w:p>
    <w:p w14:paraId="7E48F76B">
      <w:pPr>
        <w:spacing w:before="54"/>
        <w:ind w:left="1293" w:right="1390"/>
        <w:jc w:val="center"/>
        <w:rPr>
          <w:rFonts w:ascii="宋体" w:eastAsia="宋体"/>
          <w:b/>
          <w:sz w:val="32"/>
        </w:rPr>
      </w:pPr>
      <w:r>
        <w:rPr>
          <w:rFonts w:hint="eastAsia" w:ascii="宋体" w:eastAsia="宋体"/>
          <w:b/>
          <w:sz w:val="32"/>
        </w:rPr>
        <w:t>202</w:t>
      </w:r>
      <w:r>
        <w:rPr>
          <w:rFonts w:hint="eastAsia" w:ascii="宋体" w:eastAsia="宋体"/>
          <w:b/>
          <w:sz w:val="32"/>
          <w:lang w:val="en-US" w:eastAsia="zh-CN"/>
        </w:rPr>
        <w:t>4</w:t>
      </w:r>
      <w:r>
        <w:rPr>
          <w:rFonts w:hint="eastAsia" w:ascii="宋体" w:eastAsia="宋体"/>
          <w:b/>
          <w:sz w:val="32"/>
        </w:rPr>
        <w:t>级社科大类招生专业确认工作实施办法</w:t>
      </w:r>
    </w:p>
    <w:p w14:paraId="2FC1E98D">
      <w:pPr>
        <w:pStyle w:val="2"/>
        <w:ind w:left="0"/>
        <w:rPr>
          <w:rFonts w:ascii="宋体"/>
          <w:b/>
          <w:sz w:val="32"/>
        </w:rPr>
      </w:pPr>
    </w:p>
    <w:p w14:paraId="67789B8D">
      <w:pPr>
        <w:pStyle w:val="2"/>
        <w:spacing w:before="242" w:line="367" w:lineRule="auto"/>
        <w:ind w:right="442" w:firstLine="468"/>
        <w:jc w:val="both"/>
      </w:pPr>
      <w:r>
        <w:rPr>
          <w:spacing w:val="-5"/>
        </w:rPr>
        <w:t>按照学校“大类招生，专业确认培养”的总体思路</w:t>
      </w:r>
      <w:r>
        <w:t>，</w:t>
      </w:r>
      <w:r>
        <w:rPr>
          <w:rFonts w:hint="eastAsia"/>
        </w:rPr>
        <w:t>湾区国际商学院</w:t>
      </w:r>
      <w:r>
        <w:t>202</w:t>
      </w:r>
      <w:r>
        <w:rPr>
          <w:rFonts w:hint="eastAsia"/>
          <w:lang w:val="en-US" w:eastAsia="zh-CN"/>
        </w:rPr>
        <w:t>4</w:t>
      </w:r>
      <w:r>
        <w:rPr>
          <w:spacing w:val="-9"/>
        </w:rPr>
        <w:t>级社科大类招生本</w:t>
      </w:r>
      <w:r>
        <w:rPr>
          <w:spacing w:val="-3"/>
        </w:rPr>
        <w:t>科生专业确认工作实施办法如下。</w:t>
      </w:r>
    </w:p>
    <w:p w14:paraId="0990D7C1">
      <w:pPr>
        <w:pStyle w:val="2"/>
        <w:spacing w:before="4" w:line="367" w:lineRule="auto"/>
        <w:ind w:right="741" w:firstLine="432"/>
        <w:jc w:val="both"/>
      </w:pPr>
      <w:r>
        <w:rPr>
          <w:spacing w:val="-13"/>
        </w:rPr>
        <w:t>一、学生入学后根据个人兴趣、特长，并参考社科大类的各专业培养方案</w:t>
      </w:r>
      <w:r>
        <w:rPr>
          <w:spacing w:val="-11"/>
        </w:rPr>
        <w:t>修读一年级课程。</w:t>
      </w:r>
    </w:p>
    <w:p w14:paraId="1BB8B17E">
      <w:pPr>
        <w:pStyle w:val="2"/>
        <w:spacing w:before="5" w:line="369" w:lineRule="auto"/>
        <w:ind w:right="513" w:firstLine="432"/>
        <w:jc w:val="both"/>
      </w:pPr>
      <w:r>
        <w:rPr>
          <w:spacing w:val="-13"/>
        </w:rPr>
        <w:t>二、第一学年第二学期开始专业确认工作，该工作本着公平、公正、公开的原</w:t>
      </w:r>
      <w:r>
        <w:rPr>
          <w:spacing w:val="-12"/>
        </w:rPr>
        <w:t>则进行。入学时已经明确具体专业的学生，不参与专业确认。</w:t>
      </w:r>
    </w:p>
    <w:p w14:paraId="7FD854FF">
      <w:pPr>
        <w:pStyle w:val="2"/>
        <w:spacing w:line="367" w:lineRule="auto"/>
        <w:ind w:right="380" w:firstLine="460"/>
        <w:jc w:val="both"/>
      </w:pPr>
      <w:r>
        <w:rPr>
          <w:spacing w:val="-3"/>
        </w:rPr>
        <w:t>三、</w:t>
      </w:r>
      <w:r>
        <w:rPr>
          <w:rFonts w:hint="eastAsia"/>
          <w:spacing w:val="-3"/>
        </w:rPr>
        <w:t>湾区国际商学院</w:t>
      </w:r>
      <w:r>
        <w:rPr>
          <w:spacing w:val="-3"/>
        </w:rPr>
        <w:t>或会同书院组织开展专业宣讲活动，让学生充分了解各专业内涵和特色，帮助学生在修读课程和选择专业时做出更加</w:t>
      </w:r>
      <w:r>
        <w:rPr>
          <w:spacing w:val="-7"/>
        </w:rPr>
        <w:t>理性的选择。</w:t>
      </w:r>
    </w:p>
    <w:p w14:paraId="3A6ADAB3">
      <w:pPr>
        <w:pStyle w:val="2"/>
        <w:spacing w:before="3" w:line="367" w:lineRule="auto"/>
        <w:ind w:right="382" w:firstLine="460"/>
        <w:jc w:val="both"/>
      </w:pPr>
      <w:r>
        <w:rPr>
          <w:spacing w:val="-3"/>
        </w:rPr>
        <w:t>四、学校教务部指导</w:t>
      </w:r>
      <w:r>
        <w:rPr>
          <w:rFonts w:hint="eastAsia"/>
          <w:spacing w:val="-3"/>
        </w:rPr>
        <w:t>湾区国际商学院</w:t>
      </w:r>
      <w:r>
        <w:rPr>
          <w:spacing w:val="-3"/>
        </w:rPr>
        <w:t>进行社科大类招生学生的专业确认工作，负责审定专业确认方案，</w:t>
      </w:r>
      <w:r>
        <w:rPr>
          <w:rFonts w:hint="eastAsia"/>
          <w:spacing w:val="-3"/>
        </w:rPr>
        <w:t>通过</w:t>
      </w:r>
      <w:r>
        <w:rPr>
          <w:spacing w:val="-3"/>
        </w:rPr>
        <w:t>专业确认名单。</w:t>
      </w:r>
      <w:r>
        <w:rPr>
          <w:rFonts w:hint="eastAsia"/>
          <w:spacing w:val="-3"/>
        </w:rPr>
        <w:t>湾区国际商学院教务办公室</w:t>
      </w:r>
      <w:r>
        <w:rPr>
          <w:spacing w:val="-8"/>
        </w:rPr>
        <w:t>负责组织实施工作，相关职能部门协调配合。</w:t>
      </w:r>
    </w:p>
    <w:p w14:paraId="1768A412">
      <w:pPr>
        <w:pStyle w:val="2"/>
        <w:spacing w:before="4" w:line="367" w:lineRule="auto"/>
        <w:ind w:right="513" w:firstLine="432"/>
        <w:jc w:val="both"/>
      </w:pPr>
      <w:r>
        <w:rPr>
          <w:spacing w:val="-13"/>
        </w:rPr>
        <w:t>五、</w:t>
      </w:r>
      <w:r>
        <w:rPr>
          <w:rFonts w:hint="eastAsia"/>
          <w:spacing w:val="-13"/>
        </w:rPr>
        <w:t>湾区国际商学院</w:t>
      </w:r>
      <w:r>
        <w:rPr>
          <w:spacing w:val="-13"/>
        </w:rPr>
        <w:t>成立专业确认工作小组，制定专业确认</w:t>
      </w:r>
      <w:r>
        <w:rPr>
          <w:spacing w:val="-12"/>
        </w:rPr>
        <w:t>工作的具体实施细则，包括工作小组成员、专业确认工作程序、</w:t>
      </w:r>
      <w:r>
        <w:rPr>
          <w:rFonts w:hint="eastAsia"/>
          <w:spacing w:val="-12"/>
        </w:rPr>
        <w:t>各专业</w:t>
      </w:r>
      <w:r>
        <w:rPr>
          <w:spacing w:val="-12"/>
        </w:rPr>
        <w:t>联系人等。</w:t>
      </w:r>
    </w:p>
    <w:p w14:paraId="7F750952">
      <w:pPr>
        <w:pStyle w:val="2"/>
        <w:spacing w:before="3" w:line="367" w:lineRule="auto"/>
        <w:ind w:right="549" w:firstLine="480"/>
        <w:jc w:val="both"/>
      </w:pPr>
      <w:r>
        <w:t>六、专业确认工作开始前，专业确认工作小组确定各专业拟接收学生人数上限，经教务部审核通过后，由</w:t>
      </w:r>
      <w:r>
        <w:rPr>
          <w:rFonts w:hint="eastAsia"/>
        </w:rPr>
        <w:t>湾区国际商学院</w:t>
      </w:r>
      <w:r>
        <w:t>统一公布。</w:t>
      </w:r>
    </w:p>
    <w:p w14:paraId="7ACE9CA1">
      <w:pPr>
        <w:pStyle w:val="2"/>
        <w:spacing w:before="2" w:line="369" w:lineRule="auto"/>
        <w:ind w:right="285" w:firstLine="432"/>
        <w:jc w:val="both"/>
      </w:pPr>
      <w:r>
        <w:rPr>
          <w:spacing w:val="-13"/>
        </w:rPr>
        <w:t>七、社科大类专业确认工作小组依据专业确认的实施方案，对学生专业确认的优</w:t>
      </w:r>
      <w:r>
        <w:rPr>
          <w:spacing w:val="-12"/>
        </w:rPr>
        <w:t>先级排名</w:t>
      </w:r>
      <w:r>
        <w:t>（</w:t>
      </w:r>
      <w:r>
        <w:rPr>
          <w:spacing w:val="-6"/>
        </w:rPr>
        <w:t>高考相对成绩和入学后的成绩各占</w:t>
      </w:r>
      <w:r>
        <w:t>50%的比重</w:t>
      </w:r>
      <w:r>
        <w:rPr>
          <w:spacing w:val="-120"/>
        </w:rPr>
        <w:t>）</w:t>
      </w:r>
      <w:r>
        <w:rPr>
          <w:spacing w:val="-6"/>
        </w:rPr>
        <w:t>。具体计算办法如下：</w:t>
      </w:r>
    </w:p>
    <w:p w14:paraId="3495EF67">
      <w:pPr>
        <w:spacing w:line="369" w:lineRule="auto"/>
        <w:sectPr>
          <w:type w:val="continuous"/>
          <w:pgSz w:w="11910" w:h="16840"/>
          <w:pgMar w:top="1600" w:right="1400" w:bottom="280" w:left="1680" w:header="720" w:footer="720" w:gutter="0"/>
          <w:cols w:space="720" w:num="1"/>
        </w:sectPr>
      </w:pPr>
    </w:p>
    <w:p w14:paraId="0CC73D4D">
      <w:pPr>
        <w:pStyle w:val="6"/>
        <w:numPr>
          <w:ilvl w:val="0"/>
          <w:numId w:val="1"/>
        </w:numPr>
        <w:tabs>
          <w:tab w:val="left" w:pos="948"/>
        </w:tabs>
        <w:spacing w:before="45" w:line="367" w:lineRule="auto"/>
        <w:ind w:right="543" w:firstLine="468"/>
        <w:rPr>
          <w:sz w:val="24"/>
        </w:rPr>
      </w:pPr>
      <w:r>
        <w:rPr>
          <w:spacing w:val="-4"/>
          <w:sz w:val="24"/>
        </w:rPr>
        <w:t>高考成绩</w:t>
      </w:r>
      <w:r>
        <w:rPr>
          <w:sz w:val="24"/>
        </w:rPr>
        <w:t>（</w:t>
      </w:r>
      <w:r>
        <w:rPr>
          <w:spacing w:val="-4"/>
          <w:sz w:val="24"/>
        </w:rPr>
        <w:t>不含加分</w:t>
      </w:r>
      <w:r>
        <w:rPr>
          <w:sz w:val="24"/>
        </w:rPr>
        <w:t>）</w:t>
      </w:r>
      <w:r>
        <w:rPr>
          <w:spacing w:val="-5"/>
          <w:sz w:val="24"/>
        </w:rPr>
        <w:t>按相对成绩计算，不分文理的新高考省份以专业</w:t>
      </w:r>
      <w:r>
        <w:rPr>
          <w:spacing w:val="-3"/>
          <w:sz w:val="24"/>
        </w:rPr>
        <w:t>组为统计单元。</w:t>
      </w:r>
    </w:p>
    <w:p w14:paraId="3EA88042">
      <w:pPr>
        <w:pStyle w:val="2"/>
        <w:spacing w:before="8"/>
        <w:ind w:left="3840"/>
      </w:pPr>
      <w:r>
        <w:t>学生高考成绩（文/理）</w:t>
      </w:r>
    </w:p>
    <w:p w14:paraId="2BDAA7CE">
      <w:pPr>
        <w:pStyle w:val="2"/>
        <w:spacing w:before="5"/>
        <w:ind w:left="0"/>
        <w:rPr>
          <w:sz w:val="25"/>
        </w:rPr>
      </w:pPr>
    </w:p>
    <w:p w14:paraId="04FC38F5">
      <w:pPr>
        <w:pStyle w:val="2"/>
        <w:ind w:left="840"/>
      </w:pPr>
      <w:r>
        <w:t>高考相对成绩＝—————————————————————×100</w:t>
      </w:r>
    </w:p>
    <w:p w14:paraId="5A51949B">
      <w:pPr>
        <w:pStyle w:val="2"/>
        <w:spacing w:before="8"/>
        <w:ind w:left="0"/>
        <w:rPr>
          <w:sz w:val="25"/>
        </w:rPr>
      </w:pPr>
    </w:p>
    <w:p w14:paraId="2520A69C">
      <w:pPr>
        <w:pStyle w:val="2"/>
        <w:spacing w:before="1"/>
        <w:ind w:left="2640"/>
      </w:pPr>
      <w:r>
        <w:t>省（或直辖市）录取的（文/理）最高成绩</w:t>
      </w:r>
    </w:p>
    <w:p w14:paraId="302DFF62">
      <w:pPr>
        <w:pStyle w:val="2"/>
        <w:spacing w:before="3"/>
        <w:ind w:left="0"/>
        <w:rPr>
          <w:sz w:val="28"/>
        </w:rPr>
      </w:pPr>
    </w:p>
    <w:p w14:paraId="38DCAD5C">
      <w:pPr>
        <w:pStyle w:val="6"/>
        <w:numPr>
          <w:ilvl w:val="0"/>
          <w:numId w:val="1"/>
        </w:numPr>
        <w:tabs>
          <w:tab w:val="left" w:pos="946"/>
        </w:tabs>
        <w:spacing w:line="364" w:lineRule="auto"/>
        <w:ind w:left="547" w:firstLine="43"/>
        <w:jc w:val="both"/>
        <w:rPr>
          <w:sz w:val="24"/>
        </w:rPr>
      </w:pPr>
      <w:r>
        <w:rPr>
          <w:spacing w:val="-3"/>
          <w:sz w:val="24"/>
        </w:rPr>
        <w:t>入学后成绩按学生第一学期所取得的百分制课程的加权平均成绩计算。</w:t>
      </w:r>
      <w:r>
        <w:rPr>
          <w:spacing w:val="-16"/>
          <w:sz w:val="24"/>
        </w:rPr>
        <w:t>八、</w:t>
      </w:r>
      <w:r>
        <w:rPr>
          <w:rFonts w:hint="eastAsia"/>
          <w:spacing w:val="-16"/>
          <w:sz w:val="24"/>
        </w:rPr>
        <w:t>湾区国际商学院</w:t>
      </w:r>
      <w:r>
        <w:rPr>
          <w:spacing w:val="-16"/>
          <w:sz w:val="24"/>
        </w:rPr>
        <w:t>组织每个学生填报</w:t>
      </w:r>
      <w:r>
        <w:rPr>
          <w:rFonts w:hint="eastAsia"/>
          <w:spacing w:val="-16"/>
          <w:sz w:val="24"/>
          <w:lang w:val="en-US" w:eastAsia="zh-CN"/>
        </w:rPr>
        <w:t>2</w:t>
      </w:r>
      <w:r>
        <w:rPr>
          <w:spacing w:val="-16"/>
          <w:sz w:val="24"/>
        </w:rPr>
        <w:t>个不同意向专业，专业之</w:t>
      </w:r>
      <w:r>
        <w:t>间不设级差。</w:t>
      </w:r>
    </w:p>
    <w:p w14:paraId="40278E9A">
      <w:pPr>
        <w:pStyle w:val="2"/>
        <w:spacing w:before="161" w:line="364" w:lineRule="auto"/>
        <w:ind w:right="489" w:firstLine="432"/>
        <w:jc w:val="both"/>
      </w:pPr>
      <w:r>
        <w:rPr>
          <w:spacing w:val="-14"/>
        </w:rPr>
        <w:t>九、</w:t>
      </w:r>
      <w:r>
        <w:rPr>
          <w:rFonts w:hint="eastAsia"/>
          <w:spacing w:val="-14"/>
        </w:rPr>
        <w:t>专业确认工作小组</w:t>
      </w:r>
      <w:r>
        <w:rPr>
          <w:spacing w:val="-14"/>
        </w:rPr>
        <w:t>按照学生排名，逐个考查其志愿。当志愿专业有空额且学生满足专业准入</w:t>
      </w:r>
      <w:r>
        <w:rPr>
          <w:spacing w:val="-13"/>
        </w:rPr>
        <w:t>条件时即被录取，排在前的志愿优先；当优先级排名相同的学生存在相同的专业志</w:t>
      </w:r>
      <w:r>
        <w:rPr>
          <w:spacing w:val="-15"/>
        </w:rPr>
        <w:t>愿时，允许突破该专业的人数上限。</w:t>
      </w:r>
    </w:p>
    <w:p w14:paraId="4EA6EBA7">
      <w:pPr>
        <w:pStyle w:val="2"/>
        <w:spacing w:line="364" w:lineRule="auto"/>
        <w:ind w:right="513" w:firstLine="432"/>
        <w:jc w:val="both"/>
      </w:pPr>
      <w:r>
        <w:rPr>
          <w:spacing w:val="-13"/>
        </w:rPr>
        <w:t>十、如果遇到某个学生的所有志愿都没有空额时，则跳过该生考查下一人，依</w:t>
      </w:r>
      <w:r>
        <w:rPr>
          <w:spacing w:val="-15"/>
        </w:rPr>
        <w:t>次类推，直至所有的学生都考查完毕一轮。</w:t>
      </w:r>
    </w:p>
    <w:p w14:paraId="7F3987FC">
      <w:pPr>
        <w:pStyle w:val="2"/>
        <w:spacing w:line="364" w:lineRule="auto"/>
        <w:ind w:right="513" w:firstLine="432"/>
        <w:jc w:val="both"/>
      </w:pPr>
      <w:r>
        <w:rPr>
          <w:spacing w:val="-13"/>
        </w:rPr>
        <w:t>十一、按以上录取方式，第一轮仍未落实专业的学生，由社科大类专业确认工</w:t>
      </w:r>
      <w:r>
        <w:t>作小组在尚有空额的专业内，按学生的排名顺序，依次协商调剂其专业。</w:t>
      </w:r>
    </w:p>
    <w:p w14:paraId="76E846FF">
      <w:pPr>
        <w:pStyle w:val="2"/>
        <w:spacing w:line="364" w:lineRule="auto"/>
        <w:ind w:right="418" w:firstLine="444"/>
        <w:jc w:val="both"/>
      </w:pPr>
      <w:r>
        <w:rPr>
          <w:spacing w:val="-10"/>
        </w:rPr>
        <w:t>十二、学生专业确认的结果</w:t>
      </w:r>
      <w:r>
        <w:rPr>
          <w:rFonts w:hint="eastAsia"/>
          <w:spacing w:val="-10"/>
        </w:rPr>
        <w:t>在湾区国际商学院</w:t>
      </w:r>
      <w:r>
        <w:rPr>
          <w:spacing w:val="-10"/>
        </w:rPr>
        <w:t>公示后，提交教务部审核批准，进行学籍变动工</w:t>
      </w:r>
      <w:r>
        <w:rPr>
          <w:spacing w:val="-12"/>
        </w:rPr>
        <w:t>作。学籍变动完成后，学生将在确认的专业进行第二学年第一学期的选课和学习。</w:t>
      </w:r>
    </w:p>
    <w:p w14:paraId="2A2387BB">
      <w:pPr>
        <w:pStyle w:val="2"/>
        <w:spacing w:line="364" w:lineRule="auto"/>
        <w:ind w:right="433" w:firstLine="444"/>
        <w:jc w:val="both"/>
      </w:pPr>
      <w:r>
        <w:rPr>
          <w:spacing w:val="-12"/>
        </w:rPr>
        <w:t>十三、学生进行专业确认工作期间，不接受跨大类的学籍变动申请。专业确认完成后，学生享有和其他学生同等的申请专业二次选择的机会。</w:t>
      </w:r>
    </w:p>
    <w:p w14:paraId="68C3112C">
      <w:pPr>
        <w:pStyle w:val="2"/>
        <w:spacing w:line="362" w:lineRule="auto"/>
        <w:ind w:right="492" w:firstLine="444"/>
        <w:jc w:val="both"/>
      </w:pPr>
      <w:r>
        <w:rPr>
          <w:spacing w:val="-9"/>
        </w:rPr>
        <w:t>十四、本实施办法适用于</w:t>
      </w:r>
      <w:r>
        <w:rPr>
          <w:rFonts w:hint="eastAsia"/>
          <w:spacing w:val="-9"/>
        </w:rPr>
        <w:t>湾区国际商学院</w:t>
      </w:r>
      <w:r>
        <w:t>202</w:t>
      </w:r>
      <w:r>
        <w:rPr>
          <w:rFonts w:hint="eastAsia"/>
          <w:lang w:val="en-US" w:eastAsia="zh-CN"/>
        </w:rPr>
        <w:t>4</w:t>
      </w:r>
      <w:r>
        <w:rPr>
          <w:spacing w:val="-12"/>
        </w:rPr>
        <w:t>级社科大类招生的本科生，由</w:t>
      </w:r>
      <w:r>
        <w:rPr>
          <w:rFonts w:hint="eastAsia"/>
          <w:spacing w:val="-12"/>
        </w:rPr>
        <w:t>湾区国际商学院教务办公室</w:t>
      </w:r>
      <w:r>
        <w:rPr>
          <w:spacing w:val="-10"/>
        </w:rPr>
        <w:t>负责解释。</w:t>
      </w:r>
    </w:p>
    <w:p w14:paraId="0430803E">
      <w:pPr>
        <w:pStyle w:val="2"/>
        <w:ind w:left="0"/>
      </w:pPr>
    </w:p>
    <w:p w14:paraId="0959EF82">
      <w:pPr>
        <w:pStyle w:val="2"/>
        <w:ind w:left="0"/>
      </w:pPr>
    </w:p>
    <w:p w14:paraId="7EF7024B">
      <w:pPr>
        <w:pStyle w:val="2"/>
        <w:spacing w:before="4"/>
        <w:ind w:left="0"/>
        <w:rPr>
          <w:sz w:val="17"/>
        </w:rPr>
      </w:pPr>
    </w:p>
    <w:p w14:paraId="67CD1E1D">
      <w:pPr>
        <w:pStyle w:val="2"/>
        <w:spacing w:line="384" w:lineRule="auto"/>
        <w:ind w:left="6016" w:leftChars="2112" w:right="99" w:hanging="1370" w:hangingChars="571"/>
        <w:rPr>
          <w:lang w:val="en-US"/>
        </w:rPr>
      </w:pPr>
      <w:r>
        <w:t>北京师范大学</w:t>
      </w:r>
      <w:r>
        <w:rPr>
          <w:rFonts w:hint="eastAsia"/>
        </w:rPr>
        <w:t>湾区国际商学院</w:t>
      </w:r>
      <w:r>
        <w:rPr>
          <w:rFonts w:hint="eastAsia"/>
          <w:lang w:val="en-US"/>
        </w:rPr>
        <w:t xml:space="preserve">    </w:t>
      </w:r>
    </w:p>
    <w:p w14:paraId="160EFF4F">
      <w:pPr>
        <w:pStyle w:val="2"/>
        <w:spacing w:line="384" w:lineRule="auto"/>
        <w:ind w:left="6016" w:leftChars="2439" w:right="99" w:hanging="650" w:hangingChars="271"/>
      </w:pPr>
      <w:r>
        <w:t>202</w:t>
      </w:r>
      <w:r>
        <w:rPr>
          <w:rFonts w:hint="eastAsia"/>
          <w:lang w:val="en-US" w:eastAsia="zh-CN"/>
        </w:rPr>
        <w:t>5</w:t>
      </w:r>
      <w:r>
        <w:t xml:space="preserve"> 年 </w:t>
      </w:r>
      <w:r>
        <w:rPr>
          <w:rFonts w:hint="eastAsia"/>
          <w:lang w:val="en-US"/>
        </w:rPr>
        <w:t>2</w:t>
      </w:r>
      <w:r>
        <w:t xml:space="preserve"> 月 </w:t>
      </w:r>
      <w:r>
        <w:rPr>
          <w:rFonts w:hint="eastAsia"/>
          <w:lang w:val="en-US" w:eastAsia="zh-CN"/>
        </w:rPr>
        <w:t>20</w:t>
      </w:r>
      <w:bookmarkStart w:id="0" w:name="_GoBack"/>
      <w:bookmarkEnd w:id="0"/>
      <w:r>
        <w:rPr>
          <w:rFonts w:hint="eastAsia"/>
          <w:lang w:val="en-US"/>
        </w:rPr>
        <w:t xml:space="preserve"> </w:t>
      </w:r>
      <w:r>
        <w:t>日</w:t>
      </w:r>
    </w:p>
    <w:sectPr>
      <w:pgSz w:w="11910" w:h="16840"/>
      <w:pgMar w:top="1460" w:right="14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120" w:hanging="360"/>
        <w:jc w:val="left"/>
      </w:pPr>
      <w:rPr>
        <w:rFonts w:hint="default" w:ascii="仿宋" w:hAnsi="仿宋" w:eastAsia="仿宋" w:cs="仿宋"/>
        <w:spacing w:val="-5"/>
        <w:w w:val="100"/>
        <w:sz w:val="24"/>
        <w:szCs w:val="24"/>
        <w:lang w:val="zh-CN" w:eastAsia="zh-CN" w:bidi="zh-CN"/>
      </w:rPr>
    </w:lvl>
    <w:lvl w:ilvl="1" w:tentative="0">
      <w:start w:val="0"/>
      <w:numFmt w:val="bullet"/>
      <w:lvlText w:val="•"/>
      <w:lvlJc w:val="left"/>
      <w:pPr>
        <w:ind w:left="991" w:hanging="360"/>
      </w:pPr>
      <w:rPr>
        <w:rFonts w:hint="default"/>
        <w:lang w:val="zh-CN" w:eastAsia="zh-CN" w:bidi="zh-CN"/>
      </w:rPr>
    </w:lvl>
    <w:lvl w:ilvl="2" w:tentative="0">
      <w:start w:val="0"/>
      <w:numFmt w:val="bullet"/>
      <w:lvlText w:val="•"/>
      <w:lvlJc w:val="left"/>
      <w:pPr>
        <w:ind w:left="1862" w:hanging="360"/>
      </w:pPr>
      <w:rPr>
        <w:rFonts w:hint="default"/>
        <w:lang w:val="zh-CN" w:eastAsia="zh-CN" w:bidi="zh-CN"/>
      </w:rPr>
    </w:lvl>
    <w:lvl w:ilvl="3" w:tentative="0">
      <w:start w:val="0"/>
      <w:numFmt w:val="bullet"/>
      <w:lvlText w:val="•"/>
      <w:lvlJc w:val="left"/>
      <w:pPr>
        <w:ind w:left="2733" w:hanging="360"/>
      </w:pPr>
      <w:rPr>
        <w:rFonts w:hint="default"/>
        <w:lang w:val="zh-CN" w:eastAsia="zh-CN" w:bidi="zh-CN"/>
      </w:rPr>
    </w:lvl>
    <w:lvl w:ilvl="4" w:tentative="0">
      <w:start w:val="0"/>
      <w:numFmt w:val="bullet"/>
      <w:lvlText w:val="•"/>
      <w:lvlJc w:val="left"/>
      <w:pPr>
        <w:ind w:left="3604" w:hanging="360"/>
      </w:pPr>
      <w:rPr>
        <w:rFonts w:hint="default"/>
        <w:lang w:val="zh-CN" w:eastAsia="zh-CN" w:bidi="zh-CN"/>
      </w:rPr>
    </w:lvl>
    <w:lvl w:ilvl="5" w:tentative="0">
      <w:start w:val="0"/>
      <w:numFmt w:val="bullet"/>
      <w:lvlText w:val="•"/>
      <w:lvlJc w:val="left"/>
      <w:pPr>
        <w:ind w:left="4475" w:hanging="360"/>
      </w:pPr>
      <w:rPr>
        <w:rFonts w:hint="default"/>
        <w:lang w:val="zh-CN" w:eastAsia="zh-CN" w:bidi="zh-CN"/>
      </w:rPr>
    </w:lvl>
    <w:lvl w:ilvl="6" w:tentative="0">
      <w:start w:val="0"/>
      <w:numFmt w:val="bullet"/>
      <w:lvlText w:val="•"/>
      <w:lvlJc w:val="left"/>
      <w:pPr>
        <w:ind w:left="5346" w:hanging="360"/>
      </w:pPr>
      <w:rPr>
        <w:rFonts w:hint="default"/>
        <w:lang w:val="zh-CN" w:eastAsia="zh-CN" w:bidi="zh-CN"/>
      </w:rPr>
    </w:lvl>
    <w:lvl w:ilvl="7" w:tentative="0">
      <w:start w:val="0"/>
      <w:numFmt w:val="bullet"/>
      <w:lvlText w:val="•"/>
      <w:lvlJc w:val="left"/>
      <w:pPr>
        <w:ind w:left="6217" w:hanging="360"/>
      </w:pPr>
      <w:rPr>
        <w:rFonts w:hint="default"/>
        <w:lang w:val="zh-CN" w:eastAsia="zh-CN" w:bidi="zh-CN"/>
      </w:rPr>
    </w:lvl>
    <w:lvl w:ilvl="8" w:tentative="0">
      <w:start w:val="0"/>
      <w:numFmt w:val="bullet"/>
      <w:lvlText w:val="•"/>
      <w:lvlJc w:val="left"/>
      <w:pPr>
        <w:ind w:left="7088" w:hanging="360"/>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docVars>
    <w:docVar w:name="commondata" w:val="eyJoZGlkIjoiNTFjYzQ5ZTkzY2U5YzE4OGRjMjdlNGJlNDdmZmYxMjIifQ=="/>
    <w:docVar w:name="KSO_WPS_MARK_KEY" w:val="02ed1c25-e2ef-4237-9cdb-7e29783026af"/>
  </w:docVars>
  <w:rsids>
    <w:rsidRoot w:val="009879F5"/>
    <w:rsid w:val="009879F5"/>
    <w:rsid w:val="00BB52E9"/>
    <w:rsid w:val="00DA4809"/>
    <w:rsid w:val="02285751"/>
    <w:rsid w:val="091123FF"/>
    <w:rsid w:val="357E1FCF"/>
    <w:rsid w:val="3C783C30"/>
    <w:rsid w:val="631171BE"/>
    <w:rsid w:val="75993E0E"/>
    <w:rsid w:val="7A354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仿宋" w:hAnsi="仿宋" w:eastAsia="仿宋" w:cs="仿宋"/>
      <w:sz w:val="22"/>
      <w:szCs w:val="22"/>
      <w:lang w:val="zh-CN" w:eastAsia="zh-CN" w:bidi="zh-CN"/>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4"/>
      <w:szCs w:val="24"/>
    </w:rPr>
  </w:style>
  <w:style w:type="table" w:customStyle="1" w:styleId="5">
    <w:name w:val="Table Normal"/>
    <w:autoRedefine/>
    <w:semiHidden/>
    <w:unhideWhenUsed/>
    <w:qFormat/>
    <w:uiPriority w:val="2"/>
    <w:tblPr>
      <w:tblCellMar>
        <w:top w:w="0" w:type="dxa"/>
        <w:left w:w="0" w:type="dxa"/>
        <w:bottom w:w="0" w:type="dxa"/>
        <w:right w:w="0" w:type="dxa"/>
      </w:tblCellMar>
    </w:tblPr>
  </w:style>
  <w:style w:type="paragraph" w:styleId="6">
    <w:name w:val="List Paragraph"/>
    <w:basedOn w:val="1"/>
    <w:autoRedefine/>
    <w:qFormat/>
    <w:uiPriority w:val="1"/>
    <w:pPr>
      <w:ind w:left="120" w:right="456" w:firstLine="43"/>
    </w:pPr>
  </w:style>
  <w:style w:type="paragraph" w:customStyle="1" w:styleId="7">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1099</Words>
  <Characters>1116</Characters>
  <Lines>8</Lines>
  <Paragraphs>2</Paragraphs>
  <TotalTime>16</TotalTime>
  <ScaleCrop>false</ScaleCrop>
  <LinksUpToDate>false</LinksUpToDate>
  <CharactersWithSpaces>1125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2023-02-22T00:55:00Z</dcterms:created>
  <dc:creator>张晓辉</dc:creator>
  <cp:lastModifiedBy>黄淑静</cp:lastModifiedBy>
  <dcterms:modified xsi:type="dcterms:W3CDTF">2025-02-24T02:04:09Z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2022-03-18T00:00:00Z</vt:filetime>
  </property>
  <property fmtid="{D5CDD505-2E9C-101B-9397-08002B2CF9AE}" pid="3" name="Creator">
    <vt:lpwstr>WPS 文字</vt:lpwstr>
  </property>
  <property fmtid="{D5CDD505-2E9C-101B-9397-08002B2CF9AE}" pid="4" name="LastSaved">
    <vt:filetime>2023-02-22T00:00:00Z</vt:filetime>
  </property>
  <property fmtid="{D5CDD505-2E9C-101B-9397-08002B2CF9AE}" pid="5" name="KSOProductBuildVer">
    <vt:lpwstr>2052-12.1.0.18608</vt:lpwstr>
  </property>
  <property fmtid="{D5CDD505-2E9C-101B-9397-08002B2CF9AE}" pid="6" name="ICV">
    <vt:lpwstr>1EA3652EC83F45958F50FA8371E1839F</vt:lpwstr>
  </property>
</Properties>
</file>